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87" w:rsidRPr="007D35F9" w:rsidRDefault="00186987" w:rsidP="00186987">
      <w:pPr>
        <w:rPr>
          <w:b/>
        </w:rPr>
      </w:pPr>
      <w:r w:rsidRPr="007D35F9">
        <w:rPr>
          <w:b/>
        </w:rPr>
        <w:t>UPUTE IZVOZNICIMA I UVOZNICIMA</w:t>
      </w:r>
      <w:r w:rsidR="00FC5C52">
        <w:rPr>
          <w:b/>
        </w:rPr>
        <w:t xml:space="preserve"> </w:t>
      </w:r>
      <w:bookmarkStart w:id="0" w:name="_GoBack"/>
      <w:bookmarkEnd w:id="0"/>
      <w:r w:rsidR="00FC5C52">
        <w:rPr>
          <w:b/>
        </w:rPr>
        <w:t>KEMIKALIJA</w:t>
      </w:r>
    </w:p>
    <w:p w:rsidR="00355A21" w:rsidRDefault="00186987" w:rsidP="005249E4">
      <w:pPr>
        <w:jc w:val="both"/>
      </w:pPr>
      <w:r>
        <w:t xml:space="preserve">Kemikalije koje podliježu </w:t>
      </w:r>
      <w:r w:rsidR="00355A21">
        <w:t xml:space="preserve">posebnom postupku izvoza i uvoza </w:t>
      </w:r>
      <w:r w:rsidR="005249E4">
        <w:t>navedene su u Prilogu I. Uredbe 689/2008/EU</w:t>
      </w:r>
      <w:r w:rsidR="00FC5C52">
        <w:t>.</w:t>
      </w:r>
      <w:r w:rsidR="00355A21">
        <w:t xml:space="preserve"> Prilog I. s najnovijim izmjenama i dopunama možete pronaći na </w:t>
      </w:r>
      <w:hyperlink r:id="rId9" w:history="1">
        <w:r w:rsidR="00355A21" w:rsidRPr="0034430B">
          <w:rPr>
            <w:rStyle w:val="Hiperveza"/>
          </w:rPr>
          <w:t>http://edexim.jrc.ec.europa.eu</w:t>
        </w:r>
      </w:hyperlink>
      <w:r w:rsidR="00355A21">
        <w:t xml:space="preserve">. </w:t>
      </w:r>
    </w:p>
    <w:p w:rsidR="00186987" w:rsidRDefault="00355A21" w:rsidP="00186987">
      <w:r>
        <w:t>Prilog I. sastoji se od tri dijela:</w:t>
      </w:r>
    </w:p>
    <w:p w:rsidR="00355A21" w:rsidRDefault="00355A21" w:rsidP="00355A21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355A21">
        <w:rPr>
          <w:rFonts w:eastAsia="Times New Roman" w:cs="Times New Roman"/>
          <w:color w:val="000000"/>
          <w:lang w:eastAsia="hr-HR"/>
        </w:rPr>
        <w:t>Kemikalije navedene u popisu dijela 1. Priloga I. podliježu postupku obavijesti o izvozu</w:t>
      </w:r>
      <w:r>
        <w:rPr>
          <w:rFonts w:eastAsia="Times New Roman" w:cs="Times New Roman"/>
          <w:color w:val="000000"/>
          <w:lang w:eastAsia="hr-HR"/>
        </w:rPr>
        <w:t xml:space="preserve"> (</w:t>
      </w:r>
      <w:proofErr w:type="spellStart"/>
      <w:r w:rsidRPr="00355A21">
        <w:rPr>
          <w:rFonts w:eastAsia="Times New Roman" w:cs="Times New Roman"/>
          <w:i/>
          <w:color w:val="000000"/>
          <w:lang w:eastAsia="hr-HR"/>
        </w:rPr>
        <w:t>export</w:t>
      </w:r>
      <w:proofErr w:type="spellEnd"/>
      <w:r w:rsidRPr="00355A21">
        <w:rPr>
          <w:rFonts w:eastAsia="Times New Roman" w:cs="Times New Roman"/>
          <w:i/>
          <w:color w:val="000000"/>
          <w:lang w:eastAsia="hr-HR"/>
        </w:rPr>
        <w:t xml:space="preserve"> </w:t>
      </w:r>
      <w:proofErr w:type="spellStart"/>
      <w:r w:rsidRPr="00355A21">
        <w:rPr>
          <w:rFonts w:eastAsia="Times New Roman" w:cs="Times New Roman"/>
          <w:i/>
          <w:color w:val="000000"/>
          <w:lang w:eastAsia="hr-HR"/>
        </w:rPr>
        <w:t>notification</w:t>
      </w:r>
      <w:proofErr w:type="spellEnd"/>
      <w:r>
        <w:rPr>
          <w:rFonts w:eastAsia="Times New Roman" w:cs="Times New Roman"/>
          <w:color w:val="000000"/>
          <w:lang w:eastAsia="hr-HR"/>
        </w:rPr>
        <w:t>)</w:t>
      </w:r>
      <w:r w:rsidRPr="00355A21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 xml:space="preserve">- </w:t>
      </w:r>
      <w:r w:rsidRPr="00355A21">
        <w:rPr>
          <w:rFonts w:eastAsia="Times New Roman" w:cs="Times New Roman"/>
          <w:color w:val="000000"/>
          <w:lang w:eastAsia="hr-HR"/>
        </w:rPr>
        <w:t xml:space="preserve">popis sadrži iscrpne podatke o identitetu tvari, o kategoriji i/ili </w:t>
      </w:r>
      <w:proofErr w:type="spellStart"/>
      <w:r w:rsidRPr="00355A21">
        <w:rPr>
          <w:rFonts w:eastAsia="Times New Roman" w:cs="Times New Roman"/>
          <w:color w:val="000000"/>
          <w:lang w:eastAsia="hr-HR"/>
        </w:rPr>
        <w:t>podkategoriji</w:t>
      </w:r>
      <w:proofErr w:type="spellEnd"/>
      <w:r w:rsidRPr="00355A21">
        <w:rPr>
          <w:rFonts w:eastAsia="Times New Roman" w:cs="Times New Roman"/>
          <w:color w:val="000000"/>
          <w:lang w:eastAsia="hr-HR"/>
        </w:rPr>
        <w:t xml:space="preserve"> uporabe koja podliježe ograničenju, vrsti ograničenja i, prema potrebi, dodatne informacije, posebno o izuzećima od obveze podnošenja obavijesti o izvozu.</w:t>
      </w:r>
    </w:p>
    <w:p w:rsidR="005249E4" w:rsidRDefault="005249E4" w:rsidP="005249E4">
      <w:pPr>
        <w:pStyle w:val="Odlomakpopisa"/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355A21" w:rsidRDefault="007E0179" w:rsidP="00355A21">
      <w:pPr>
        <w:pStyle w:val="Odlomakpopisa"/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hyperlink r:id="rId10" w:history="1">
        <w:r w:rsidR="005249E4" w:rsidRPr="0077512B">
          <w:rPr>
            <w:rStyle w:val="Hiperveza"/>
            <w:rFonts w:eastAsia="Times New Roman" w:cs="Times New Roman"/>
            <w:lang w:eastAsia="hr-HR"/>
          </w:rPr>
          <w:t>http://edexim.jrc.ec.europa.eu/list_annex_i_chemicals.php?id_part=1</w:t>
        </w:r>
      </w:hyperlink>
    </w:p>
    <w:p w:rsidR="005249E4" w:rsidRPr="00355A21" w:rsidRDefault="005249E4" w:rsidP="00355A21">
      <w:pPr>
        <w:pStyle w:val="Odlomakpopisa"/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355A21" w:rsidRDefault="00355A21" w:rsidP="00355A21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355A21">
        <w:rPr>
          <w:rFonts w:eastAsia="Times New Roman" w:cs="Times New Roman"/>
          <w:color w:val="000000"/>
          <w:lang w:eastAsia="hr-HR"/>
        </w:rPr>
        <w:t>Kemikalije navedene u popisu dijela 2. Priloga I. osim što podliježu postupku obavijesti o izvozu</w:t>
      </w:r>
      <w:r>
        <w:rPr>
          <w:rFonts w:eastAsia="Times New Roman" w:cs="Times New Roman"/>
          <w:color w:val="000000"/>
          <w:lang w:eastAsia="hr-HR"/>
        </w:rPr>
        <w:t>,</w:t>
      </w:r>
      <w:r w:rsidRPr="00355A21">
        <w:rPr>
          <w:rFonts w:eastAsia="Times New Roman" w:cs="Times New Roman"/>
          <w:color w:val="000000"/>
          <w:lang w:eastAsia="hr-HR"/>
        </w:rPr>
        <w:t xml:space="preserve"> ispunjavaju i uvjete za postupak PIC obavijesti </w:t>
      </w:r>
      <w:r>
        <w:rPr>
          <w:rFonts w:eastAsia="Times New Roman" w:cs="Times New Roman"/>
          <w:color w:val="000000"/>
          <w:lang w:eastAsia="hr-HR"/>
        </w:rPr>
        <w:t>(</w:t>
      </w:r>
      <w:r w:rsidRPr="00355A21">
        <w:rPr>
          <w:rFonts w:eastAsia="Times New Roman" w:cs="Times New Roman"/>
          <w:color w:val="000000"/>
          <w:lang w:eastAsia="hr-HR"/>
        </w:rPr>
        <w:t>kako je utvrđen u članku 10.</w:t>
      </w:r>
      <w:r w:rsidR="00157284">
        <w:rPr>
          <w:rFonts w:eastAsia="Times New Roman" w:cs="Times New Roman"/>
          <w:color w:val="000000"/>
          <w:lang w:eastAsia="hr-HR"/>
        </w:rPr>
        <w:t xml:space="preserve"> </w:t>
      </w:r>
      <w:r w:rsidR="00576C4A">
        <w:rPr>
          <w:rFonts w:eastAsia="Times New Roman" w:cs="Times New Roman"/>
          <w:color w:val="000000"/>
          <w:lang w:eastAsia="hr-HR"/>
        </w:rPr>
        <w:t>–</w:t>
      </w:r>
      <w:r w:rsidR="00157284">
        <w:rPr>
          <w:rFonts w:eastAsia="Times New Roman" w:cs="Times New Roman"/>
          <w:color w:val="000000"/>
          <w:lang w:eastAsia="hr-HR"/>
        </w:rPr>
        <w:t xml:space="preserve"> </w:t>
      </w:r>
      <w:r w:rsidR="00576C4A" w:rsidRPr="00576C4A">
        <w:rPr>
          <w:rFonts w:eastAsia="Times New Roman" w:cs="Times New Roman"/>
          <w:i/>
          <w:color w:val="000000"/>
          <w:lang w:eastAsia="hr-HR"/>
        </w:rPr>
        <w:t xml:space="preserve">PIC </w:t>
      </w:r>
      <w:proofErr w:type="spellStart"/>
      <w:r w:rsidR="00576C4A" w:rsidRPr="00576C4A">
        <w:rPr>
          <w:rFonts w:eastAsia="Times New Roman" w:cs="Times New Roman"/>
          <w:i/>
          <w:color w:val="000000"/>
          <w:lang w:eastAsia="hr-HR"/>
        </w:rPr>
        <w:t>notification</w:t>
      </w:r>
      <w:proofErr w:type="spellEnd"/>
      <w:r>
        <w:rPr>
          <w:rFonts w:eastAsia="Times New Roman" w:cs="Times New Roman"/>
          <w:color w:val="000000"/>
          <w:lang w:eastAsia="hr-HR"/>
        </w:rPr>
        <w:t>)</w:t>
      </w:r>
      <w:r w:rsidR="00157284">
        <w:rPr>
          <w:rFonts w:eastAsia="Times New Roman" w:cs="Times New Roman"/>
          <w:color w:val="000000"/>
          <w:lang w:eastAsia="hr-HR"/>
        </w:rPr>
        <w:t xml:space="preserve"> - </w:t>
      </w:r>
      <w:r w:rsidRPr="00355A21">
        <w:rPr>
          <w:rFonts w:eastAsia="Times New Roman" w:cs="Times New Roman"/>
          <w:color w:val="000000"/>
          <w:lang w:eastAsia="hr-HR"/>
        </w:rPr>
        <w:t>popis sadrži iscrpne podatke o identitetu tvari i o kategoriji uporabe.</w:t>
      </w:r>
    </w:p>
    <w:p w:rsidR="005249E4" w:rsidRDefault="005249E4" w:rsidP="005249E4">
      <w:pPr>
        <w:pStyle w:val="Odlomakpopisa"/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249E4" w:rsidRDefault="007E0179" w:rsidP="005249E4">
      <w:pPr>
        <w:pStyle w:val="Odlomakpopisa"/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hyperlink r:id="rId11" w:history="1">
        <w:r w:rsidR="005249E4" w:rsidRPr="0077512B">
          <w:rPr>
            <w:rStyle w:val="Hiperveza"/>
            <w:rFonts w:eastAsia="Times New Roman" w:cs="Times New Roman"/>
            <w:lang w:eastAsia="hr-HR"/>
          </w:rPr>
          <w:t>http://edexim.jrc.ec.europa.eu/list_annex_i_chemicals.php?id_part=2</w:t>
        </w:r>
      </w:hyperlink>
    </w:p>
    <w:p w:rsidR="005249E4" w:rsidRDefault="005249E4" w:rsidP="005249E4">
      <w:pPr>
        <w:pStyle w:val="Odlomakpopisa"/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355A21" w:rsidRPr="00355A21" w:rsidRDefault="00355A21" w:rsidP="00355A21">
      <w:pPr>
        <w:pStyle w:val="Odlomakpopisa"/>
        <w:rPr>
          <w:rFonts w:eastAsia="Times New Roman" w:cs="Times New Roman"/>
          <w:color w:val="000000"/>
          <w:lang w:eastAsia="hr-HR"/>
        </w:rPr>
      </w:pPr>
    </w:p>
    <w:p w:rsidR="00355A21" w:rsidRDefault="00355A21" w:rsidP="00355A21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355A21">
        <w:rPr>
          <w:rFonts w:eastAsia="Times New Roman" w:cs="Times New Roman"/>
          <w:color w:val="000000"/>
          <w:lang w:eastAsia="hr-HR"/>
        </w:rPr>
        <w:t xml:space="preserve">Kemikalije navedene u popisu </w:t>
      </w:r>
      <w:r w:rsidR="00157284">
        <w:rPr>
          <w:rFonts w:eastAsia="Times New Roman" w:cs="Times New Roman"/>
          <w:color w:val="000000"/>
          <w:lang w:eastAsia="hr-HR"/>
        </w:rPr>
        <w:t>d</w:t>
      </w:r>
      <w:r w:rsidRPr="00355A21">
        <w:rPr>
          <w:rFonts w:eastAsia="Times New Roman" w:cs="Times New Roman"/>
          <w:color w:val="000000"/>
          <w:lang w:eastAsia="hr-HR"/>
        </w:rPr>
        <w:t xml:space="preserve">ijela 3. Priloga </w:t>
      </w:r>
      <w:r>
        <w:rPr>
          <w:rFonts w:eastAsia="Times New Roman" w:cs="Times New Roman"/>
          <w:color w:val="000000"/>
          <w:lang w:eastAsia="hr-HR"/>
        </w:rPr>
        <w:t>I. podliježu PIC postupku</w:t>
      </w:r>
      <w:r w:rsidR="00576C4A">
        <w:rPr>
          <w:rFonts w:eastAsia="Times New Roman" w:cs="Times New Roman"/>
          <w:color w:val="000000"/>
          <w:lang w:eastAsia="hr-HR"/>
        </w:rPr>
        <w:t xml:space="preserve"> (</w:t>
      </w:r>
      <w:r w:rsidR="00576C4A" w:rsidRPr="00576C4A">
        <w:rPr>
          <w:rFonts w:eastAsia="Times New Roman" w:cs="Times New Roman"/>
          <w:i/>
          <w:color w:val="000000"/>
          <w:lang w:eastAsia="hr-HR"/>
        </w:rPr>
        <w:t>PIC procedure</w:t>
      </w:r>
      <w:r w:rsidR="00576C4A">
        <w:rPr>
          <w:rFonts w:eastAsia="Times New Roman" w:cs="Times New Roman"/>
          <w:color w:val="000000"/>
          <w:lang w:eastAsia="hr-HR"/>
        </w:rPr>
        <w:t>)</w:t>
      </w:r>
      <w:r>
        <w:rPr>
          <w:rFonts w:eastAsia="Times New Roman" w:cs="Times New Roman"/>
          <w:color w:val="000000"/>
          <w:lang w:eastAsia="hr-HR"/>
        </w:rPr>
        <w:t xml:space="preserve"> -</w:t>
      </w:r>
      <w:r w:rsidRPr="00355A21">
        <w:rPr>
          <w:rFonts w:eastAsia="Times New Roman" w:cs="Times New Roman"/>
          <w:color w:val="000000"/>
          <w:lang w:eastAsia="hr-HR"/>
        </w:rPr>
        <w:t xml:space="preserve"> popis sadrži kate</w:t>
      </w:r>
      <w:r>
        <w:rPr>
          <w:rFonts w:eastAsia="Times New Roman" w:cs="Times New Roman"/>
          <w:color w:val="000000"/>
          <w:lang w:eastAsia="hr-HR"/>
        </w:rPr>
        <w:t>goriju uporabe i, prema potrebi</w:t>
      </w:r>
      <w:r w:rsidRPr="00355A21">
        <w:rPr>
          <w:rFonts w:eastAsia="Times New Roman" w:cs="Times New Roman"/>
          <w:color w:val="000000"/>
          <w:lang w:eastAsia="hr-HR"/>
        </w:rPr>
        <w:t xml:space="preserve"> dodatne informacije, posebno u pogledu zahtjeva za obavijest o izvozu. </w:t>
      </w:r>
    </w:p>
    <w:p w:rsidR="005249E4" w:rsidRDefault="005249E4" w:rsidP="005249E4">
      <w:pPr>
        <w:pStyle w:val="Odlomakpopisa"/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249E4" w:rsidRPr="00355A21" w:rsidRDefault="007E0179" w:rsidP="005249E4">
      <w:pPr>
        <w:pStyle w:val="Odlomakpopisa"/>
        <w:spacing w:before="240"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hyperlink r:id="rId12" w:history="1">
        <w:r w:rsidR="005249E4" w:rsidRPr="0077512B">
          <w:rPr>
            <w:rStyle w:val="Hiperveza"/>
            <w:rFonts w:eastAsia="Times New Roman" w:cs="Times New Roman"/>
            <w:lang w:eastAsia="hr-HR"/>
          </w:rPr>
          <w:t>http://edexim.jrc.ec.europa.eu/list_annex_i_chemicals.php?id_part=3</w:t>
        </w:r>
      </w:hyperlink>
      <w:r w:rsidR="005249E4">
        <w:rPr>
          <w:rFonts w:eastAsia="Times New Roman" w:cs="Times New Roman"/>
          <w:color w:val="000000"/>
          <w:lang w:eastAsia="hr-HR"/>
        </w:rPr>
        <w:t xml:space="preserve"> </w:t>
      </w:r>
    </w:p>
    <w:p w:rsidR="00355A21" w:rsidRDefault="00355A21" w:rsidP="00355A21"/>
    <w:p w:rsidR="00F709F1" w:rsidRDefault="00F709F1" w:rsidP="00CE5B53">
      <w:pPr>
        <w:jc w:val="both"/>
        <w:rPr>
          <w:rFonts w:eastAsia="Times New Roman" w:cs="Times New Roman"/>
          <w:color w:val="000000"/>
          <w:lang w:eastAsia="hr-HR"/>
        </w:rPr>
      </w:pPr>
      <w:r w:rsidRPr="007D35F9">
        <w:rPr>
          <w:b/>
        </w:rPr>
        <w:t>Obavijest o izvozu</w:t>
      </w:r>
      <w:r>
        <w:t xml:space="preserve"> odnosi se na sve kemikalije iz </w:t>
      </w:r>
      <w:r w:rsidRPr="00355A21">
        <w:rPr>
          <w:rFonts w:eastAsia="Times New Roman" w:cs="Times New Roman"/>
          <w:color w:val="000000"/>
          <w:lang w:eastAsia="hr-HR"/>
        </w:rPr>
        <w:t>popisu dijela 1. Priloga I.</w:t>
      </w:r>
      <w:r>
        <w:rPr>
          <w:rFonts w:eastAsia="Times New Roman" w:cs="Times New Roman"/>
          <w:color w:val="000000"/>
          <w:lang w:eastAsia="hr-HR"/>
        </w:rPr>
        <w:t xml:space="preserve"> bez obzira na njihovu namjenu i područje uporabe. Smjesa koja sadrži kemikaliju iz Priloga I. podlij</w:t>
      </w:r>
      <w:r w:rsidR="002844FE">
        <w:rPr>
          <w:rFonts w:eastAsia="Times New Roman" w:cs="Times New Roman"/>
          <w:color w:val="000000"/>
          <w:lang w:eastAsia="hr-HR"/>
        </w:rPr>
        <w:t>eže također postupku obavijesti</w:t>
      </w:r>
      <w:r>
        <w:rPr>
          <w:rFonts w:eastAsia="Times New Roman" w:cs="Times New Roman"/>
          <w:color w:val="000000"/>
          <w:lang w:eastAsia="hr-HR"/>
        </w:rPr>
        <w:t>, ukoliko je koncentracija kemikalije takva da uvjetuje razvrstavanje smjese kao opasne</w:t>
      </w:r>
      <w:r w:rsidR="00CE5B53">
        <w:rPr>
          <w:rFonts w:eastAsia="Times New Roman" w:cs="Times New Roman"/>
          <w:color w:val="000000"/>
          <w:lang w:eastAsia="hr-HR"/>
        </w:rPr>
        <w:t>.</w:t>
      </w:r>
      <w:r w:rsidR="00275FBA">
        <w:rPr>
          <w:rFonts w:eastAsia="Times New Roman" w:cs="Times New Roman"/>
          <w:color w:val="000000"/>
          <w:lang w:eastAsia="hr-HR"/>
        </w:rPr>
        <w:t xml:space="preserve"> Obavijest nije potrebno podnositi ukoliko je kemikalija postala predmetom PIC postupka i ukoliko je zemlja uvoznica dala odgovor o uvozu.</w:t>
      </w:r>
    </w:p>
    <w:p w:rsidR="00CE5B53" w:rsidRDefault="00CE5B53" w:rsidP="00CE5B53">
      <w:pPr>
        <w:jc w:val="both"/>
      </w:pPr>
      <w:r w:rsidRPr="00FC5C52">
        <w:rPr>
          <w:rFonts w:eastAsia="Times New Roman" w:cs="Times New Roman"/>
          <w:b/>
          <w:color w:val="000000"/>
          <w:lang w:eastAsia="hr-HR"/>
        </w:rPr>
        <w:t>Postupak obavijesti o izvozu potrebno je provesti prilikom prvog izvoza iz EU u treću zemlju i prilikom prvog izvoza svake sljedeće godine.</w:t>
      </w:r>
      <w:r>
        <w:rPr>
          <w:rFonts w:eastAsia="Times New Roman" w:cs="Times New Roman"/>
          <w:color w:val="000000"/>
          <w:lang w:eastAsia="hr-HR"/>
        </w:rPr>
        <w:t xml:space="preserve"> </w:t>
      </w:r>
      <w:r w:rsidR="00275FBA">
        <w:rPr>
          <w:rFonts w:eastAsia="Times New Roman" w:cs="Times New Roman"/>
          <w:color w:val="000000"/>
          <w:lang w:eastAsia="hr-HR"/>
        </w:rPr>
        <w:t>Obavijest</w:t>
      </w:r>
      <w:r w:rsidR="00FC5C52">
        <w:rPr>
          <w:rFonts w:eastAsia="Times New Roman" w:cs="Times New Roman"/>
          <w:color w:val="000000"/>
          <w:lang w:eastAsia="hr-HR"/>
        </w:rPr>
        <w:t xml:space="preserve"> (zahtjev)</w:t>
      </w:r>
      <w:r w:rsidR="00275FBA">
        <w:rPr>
          <w:rFonts w:eastAsia="Times New Roman" w:cs="Times New Roman"/>
          <w:color w:val="000000"/>
          <w:lang w:eastAsia="hr-HR"/>
        </w:rPr>
        <w:t xml:space="preserve"> se </w:t>
      </w:r>
      <w:r w:rsidR="00275FBA" w:rsidRPr="00FC5C52">
        <w:rPr>
          <w:rFonts w:eastAsia="Times New Roman" w:cs="Times New Roman"/>
          <w:b/>
          <w:color w:val="000000"/>
          <w:lang w:eastAsia="hr-HR"/>
        </w:rPr>
        <w:t xml:space="preserve">podnosi najkasnije 30 dana prije prvog izvoza, odnosno barem 15 dana prije prvog izvoza svake sljedeće kalendarske godine i to Ministarstvu </w:t>
      </w:r>
      <w:r w:rsidR="007D35F9" w:rsidRPr="00FC5C52">
        <w:rPr>
          <w:rFonts w:eastAsia="Times New Roman" w:cs="Times New Roman"/>
          <w:b/>
          <w:color w:val="000000"/>
          <w:lang w:eastAsia="hr-HR"/>
        </w:rPr>
        <w:t>zdravlja</w:t>
      </w:r>
      <w:r w:rsidR="007D35F9">
        <w:rPr>
          <w:rFonts w:eastAsia="Times New Roman" w:cs="Times New Roman"/>
          <w:color w:val="000000"/>
          <w:lang w:eastAsia="hr-HR"/>
        </w:rPr>
        <w:t xml:space="preserve"> putem </w:t>
      </w:r>
      <w:r w:rsidR="007D35F9" w:rsidRPr="00FC5C52">
        <w:rPr>
          <w:rFonts w:eastAsia="Times New Roman" w:cs="Times New Roman"/>
          <w:b/>
          <w:color w:val="000000"/>
          <w:lang w:eastAsia="hr-HR"/>
        </w:rPr>
        <w:t xml:space="preserve">EDEXIM </w:t>
      </w:r>
      <w:r w:rsidR="007D35F9">
        <w:rPr>
          <w:rFonts w:eastAsia="Times New Roman" w:cs="Times New Roman"/>
          <w:color w:val="000000"/>
          <w:lang w:eastAsia="hr-HR"/>
        </w:rPr>
        <w:t>web stranice (</w:t>
      </w:r>
      <w:hyperlink r:id="rId13" w:history="1">
        <w:r w:rsidR="007D35F9" w:rsidRPr="0034430B">
          <w:rPr>
            <w:rStyle w:val="Hiperveza"/>
            <w:rFonts w:eastAsia="Times New Roman" w:cs="Times New Roman"/>
            <w:lang w:eastAsia="hr-HR"/>
          </w:rPr>
          <w:t>http://edexim.jrc.ec.europa.eu</w:t>
        </w:r>
      </w:hyperlink>
      <w:r w:rsidR="007D35F9">
        <w:rPr>
          <w:rFonts w:eastAsia="Times New Roman" w:cs="Times New Roman"/>
          <w:color w:val="000000"/>
          <w:lang w:eastAsia="hr-HR"/>
        </w:rPr>
        <w:t>)</w:t>
      </w:r>
      <w:r w:rsidR="00275FBA">
        <w:rPr>
          <w:rFonts w:eastAsia="Times New Roman" w:cs="Times New Roman"/>
          <w:color w:val="000000"/>
          <w:lang w:eastAsia="hr-HR"/>
        </w:rPr>
        <w:t xml:space="preserve">. Kako bi ju koristili </w:t>
      </w:r>
      <w:r w:rsidR="007D35F9">
        <w:rPr>
          <w:rFonts w:eastAsia="Times New Roman" w:cs="Times New Roman"/>
          <w:color w:val="000000"/>
          <w:lang w:eastAsia="hr-HR"/>
        </w:rPr>
        <w:t>i ispunili potreban formular (</w:t>
      </w:r>
      <w:proofErr w:type="spellStart"/>
      <w:r w:rsidR="007D35F9" w:rsidRPr="007D35F9">
        <w:rPr>
          <w:rFonts w:eastAsia="Times New Roman" w:cs="Times New Roman"/>
          <w:i/>
          <w:color w:val="000000"/>
          <w:lang w:eastAsia="hr-HR"/>
        </w:rPr>
        <w:t>export</w:t>
      </w:r>
      <w:proofErr w:type="spellEnd"/>
      <w:r w:rsidR="007D35F9" w:rsidRPr="007D35F9">
        <w:rPr>
          <w:rFonts w:eastAsia="Times New Roman" w:cs="Times New Roman"/>
          <w:i/>
          <w:color w:val="000000"/>
          <w:lang w:eastAsia="hr-HR"/>
        </w:rPr>
        <w:t xml:space="preserve"> </w:t>
      </w:r>
      <w:proofErr w:type="spellStart"/>
      <w:r w:rsidR="007D35F9" w:rsidRPr="007D35F9">
        <w:rPr>
          <w:rFonts w:eastAsia="Times New Roman" w:cs="Times New Roman"/>
          <w:i/>
          <w:color w:val="000000"/>
          <w:lang w:eastAsia="hr-HR"/>
        </w:rPr>
        <w:t>notification</w:t>
      </w:r>
      <w:proofErr w:type="spellEnd"/>
      <w:r w:rsidR="007D35F9" w:rsidRPr="007D35F9">
        <w:rPr>
          <w:rFonts w:eastAsia="Times New Roman" w:cs="Times New Roman"/>
          <w:i/>
          <w:color w:val="000000"/>
          <w:lang w:eastAsia="hr-HR"/>
        </w:rPr>
        <w:t xml:space="preserve"> </w:t>
      </w:r>
      <w:proofErr w:type="spellStart"/>
      <w:r w:rsidR="007D35F9" w:rsidRPr="007D35F9">
        <w:rPr>
          <w:rFonts w:eastAsia="Times New Roman" w:cs="Times New Roman"/>
          <w:i/>
          <w:color w:val="000000"/>
          <w:lang w:eastAsia="hr-HR"/>
        </w:rPr>
        <w:t>form</w:t>
      </w:r>
      <w:proofErr w:type="spellEnd"/>
      <w:r w:rsidR="007D35F9">
        <w:rPr>
          <w:rFonts w:eastAsia="Times New Roman" w:cs="Times New Roman"/>
          <w:color w:val="000000"/>
          <w:lang w:eastAsia="hr-HR"/>
        </w:rPr>
        <w:t xml:space="preserve">) </w:t>
      </w:r>
      <w:r w:rsidR="00275FBA">
        <w:rPr>
          <w:rFonts w:eastAsia="Times New Roman" w:cs="Times New Roman"/>
          <w:color w:val="000000"/>
          <w:lang w:eastAsia="hr-HR"/>
        </w:rPr>
        <w:t xml:space="preserve">potrebno je zatražiti od Ministarstva </w:t>
      </w:r>
      <w:proofErr w:type="spellStart"/>
      <w:r w:rsidR="00275FBA">
        <w:rPr>
          <w:rFonts w:eastAsia="Times New Roman" w:cs="Times New Roman"/>
          <w:color w:val="000000"/>
          <w:lang w:eastAsia="hr-HR"/>
        </w:rPr>
        <w:t>username</w:t>
      </w:r>
      <w:proofErr w:type="spellEnd"/>
      <w:r w:rsidR="00275FBA">
        <w:rPr>
          <w:rFonts w:eastAsia="Times New Roman" w:cs="Times New Roman"/>
          <w:color w:val="000000"/>
          <w:lang w:eastAsia="hr-HR"/>
        </w:rPr>
        <w:t xml:space="preserve"> i </w:t>
      </w:r>
      <w:proofErr w:type="spellStart"/>
      <w:r w:rsidR="00275FBA">
        <w:rPr>
          <w:rFonts w:eastAsia="Times New Roman" w:cs="Times New Roman"/>
          <w:color w:val="000000"/>
          <w:lang w:eastAsia="hr-HR"/>
        </w:rPr>
        <w:t>password</w:t>
      </w:r>
      <w:proofErr w:type="spellEnd"/>
      <w:r w:rsidR="00275FBA">
        <w:rPr>
          <w:rFonts w:eastAsia="Times New Roman" w:cs="Times New Roman"/>
          <w:color w:val="000000"/>
          <w:lang w:eastAsia="hr-HR"/>
        </w:rPr>
        <w:t xml:space="preserve"> neposredno prije podnošenja obavijesti.</w:t>
      </w:r>
      <w:r w:rsidR="00275FBA">
        <w:t xml:space="preserve"> Podatke možete zatražiti </w:t>
      </w:r>
      <w:proofErr w:type="spellStart"/>
      <w:r w:rsidR="00275FBA">
        <w:t>emailom</w:t>
      </w:r>
      <w:proofErr w:type="spellEnd"/>
      <w:r w:rsidR="00275FBA">
        <w:t xml:space="preserve"> </w:t>
      </w:r>
      <w:r w:rsidR="007D35F9">
        <w:t>(</w:t>
      </w:r>
      <w:hyperlink r:id="rId14" w:history="1">
        <w:r w:rsidR="007D35F9" w:rsidRPr="0034430B">
          <w:rPr>
            <w:rStyle w:val="Hiperveza"/>
          </w:rPr>
          <w:t>PICexport_import@miz.hr</w:t>
        </w:r>
      </w:hyperlink>
      <w:r w:rsidR="007D35F9">
        <w:t xml:space="preserve">). Nakon što je izvoznik dostavio obavijest nadležnom tijelu (Ministarstvu zdravlja), obavijest se prosljeđuje Europskoj komisiji </w:t>
      </w:r>
      <w:r w:rsidR="005F14F8">
        <w:t xml:space="preserve">koja dodijeljeni referentni identifikacijski broj (RIN) nakon provjere potpunosti aktivira te o tome obavještava nadležno tijelo i izvoznika. Izvoz se može ostvariti tek nakon aktiviranja RIN-a, koji se upisuje u </w:t>
      </w:r>
      <w:r w:rsidR="006A1D51">
        <w:t xml:space="preserve">jedinstvenu </w:t>
      </w:r>
      <w:r w:rsidR="005F14F8">
        <w:t xml:space="preserve">carinsku deklaraciju pod br. 44. </w:t>
      </w:r>
    </w:p>
    <w:p w:rsidR="005F14F8" w:rsidRDefault="005F14F8" w:rsidP="00CE5B53">
      <w:pPr>
        <w:jc w:val="both"/>
      </w:pPr>
      <w:r>
        <w:lastRenderedPageBreak/>
        <w:t xml:space="preserve">RIN je valjan nakon datuma kojeg je izvoznik naveo u podnesenoj obavijesti ili u skladu s vremenom propisanim samom Uredbom (članak 7.) i vrijedi do 31. </w:t>
      </w:r>
      <w:r w:rsidR="00D72DF6">
        <w:t>p</w:t>
      </w:r>
      <w:r>
        <w:t xml:space="preserve">rosinca, nakon čega je potrebno ponovo podnijeti obavijest o izvozu. </w:t>
      </w:r>
    </w:p>
    <w:p w:rsidR="006A1D51" w:rsidRDefault="006A1D51" w:rsidP="00CE5B53">
      <w:pPr>
        <w:jc w:val="both"/>
      </w:pPr>
      <w:r>
        <w:t>Tvari s popis</w:t>
      </w:r>
      <w:r w:rsidR="006B42E1">
        <w:t>a</w:t>
      </w:r>
      <w:r>
        <w:t xml:space="preserve"> I. dio 2.</w:t>
      </w:r>
      <w:r w:rsidR="006B42E1">
        <w:t xml:space="preserve"> i 3.</w:t>
      </w:r>
      <w:r>
        <w:t xml:space="preserve"> </w:t>
      </w:r>
      <w:r w:rsidR="002C2327">
        <w:t>p</w:t>
      </w:r>
      <w:r>
        <w:t>odliježu PIC notifikaciji</w:t>
      </w:r>
      <w:r w:rsidR="006B42E1">
        <w:t xml:space="preserve"> odnosno PIC postupku</w:t>
      </w:r>
      <w:r w:rsidR="002C2327">
        <w:t xml:space="preserve">. Taj postupak kombinira obavijest o izvozu s dobivanjem izričitog pristanka zemlje uvoznice. </w:t>
      </w:r>
      <w:r w:rsidR="006B42E1">
        <w:t>Izvoznik ispunjava u EDEXIM-u obavijest,  a n</w:t>
      </w:r>
      <w:r w:rsidR="002C2327">
        <w:t>adležno tijelo u ime izvoznika traži pristanak izvoza</w:t>
      </w:r>
      <w:r w:rsidR="006B42E1" w:rsidRPr="006B42E1">
        <w:t xml:space="preserve"> </w:t>
      </w:r>
      <w:r w:rsidR="006B42E1">
        <w:t>(nadležno tijelo u EU nije tijelo iz države iz koje se izvoz fizički obavlja, već nadležno tijelo u zemlji gdje je izvoznik registriran)</w:t>
      </w:r>
      <w:r w:rsidR="002C2327">
        <w:t xml:space="preserve">. Izvoznici trebaju uzeti u obzir da se radi o dužem postupku budući da je potrebno čekati pristanak zemlje uvoznice. </w:t>
      </w:r>
      <w:r w:rsidR="006B42E1">
        <w:t xml:space="preserve">Nakon dobivanja pristanka, Europska komisija aktivira RIN, a Ministarstvo zdravlja obavještava izvoznika o dopuštanju izvoza. </w:t>
      </w:r>
    </w:p>
    <w:p w:rsidR="008233CD" w:rsidRDefault="00FF7DCF" w:rsidP="00CE5B53">
      <w:pPr>
        <w:jc w:val="both"/>
      </w:pPr>
      <w:r>
        <w:t>Na we</w:t>
      </w:r>
      <w:r w:rsidR="008233CD">
        <w:t xml:space="preserve">b stranici </w:t>
      </w:r>
      <w:hyperlink r:id="rId15" w:history="1">
        <w:r w:rsidR="008233CD" w:rsidRPr="0034430B">
          <w:rPr>
            <w:rStyle w:val="Hiperveza"/>
          </w:rPr>
          <w:t>http://edexim.jrc.ec.europa.eu/picCirculars.php</w:t>
        </w:r>
      </w:hyperlink>
      <w:r w:rsidR="008233CD">
        <w:t xml:space="preserve"> možete pronaći PIC okružnicu (</w:t>
      </w:r>
      <w:r w:rsidR="008233CD" w:rsidRPr="008233CD">
        <w:rPr>
          <w:i/>
        </w:rPr>
        <w:t xml:space="preserve">PIC </w:t>
      </w:r>
      <w:proofErr w:type="spellStart"/>
      <w:r w:rsidR="008233CD" w:rsidRPr="008233CD">
        <w:rPr>
          <w:i/>
        </w:rPr>
        <w:t>circular</w:t>
      </w:r>
      <w:proofErr w:type="spellEnd"/>
      <w:r w:rsidR="008233CD">
        <w:t>) u kojoj su navedene kemikalije i odluke o uvozu, kao i moguća ograničenja uvoza.</w:t>
      </w:r>
      <w:r w:rsidR="00C42936">
        <w:t xml:space="preserve"> PIC okružnica objavljuje se svakih 6 mjeseci. Za kemikalije iz Priloga I dio 3., za koje postoji odluka o uvozu u PIC okružnici , sukladno članku 7 (6) Uredbe, nije potrebno </w:t>
      </w:r>
      <w:proofErr w:type="spellStart"/>
      <w:r w:rsidR="00C42936">
        <w:t>notificirati</w:t>
      </w:r>
      <w:proofErr w:type="spellEnd"/>
      <w:r w:rsidR="00C42936">
        <w:t xml:space="preserve"> izvoz, osim ako drugačije nije navedeno u okružnici. Međutim, izvoznici trebaju zatražiti „specijalni RIN“ broj koji će navesti u izvoznoj deklaraciji.</w:t>
      </w:r>
    </w:p>
    <w:p w:rsidR="008233CD" w:rsidRDefault="002844FE" w:rsidP="00CE5B53">
      <w:pPr>
        <w:jc w:val="both"/>
      </w:pPr>
      <w:r>
        <w:t xml:space="preserve">Uvoz je osim Uredbom br. 689/2008/EU, reguliran i ograničen i Uredbom REACH br. 1607/2006/EU i to Prilogom XVII. kao i  Uredbom 528/2012/EU o </w:t>
      </w:r>
      <w:proofErr w:type="spellStart"/>
      <w:r>
        <w:t>biocidnim</w:t>
      </w:r>
      <w:proofErr w:type="spellEnd"/>
      <w:r>
        <w:t xml:space="preserve"> proizvodima.</w:t>
      </w:r>
    </w:p>
    <w:p w:rsidR="006B42E1" w:rsidRDefault="00F860DE" w:rsidP="00CE5B53">
      <w:pPr>
        <w:jc w:val="both"/>
      </w:pPr>
      <w:r>
        <w:t xml:space="preserve">Svaka kemikalija koja se izvozi treba imati naljepnicu izrađenu sukladno CLP Uredbi br. 1272/2008/EU na kojoj je naveden i datum isteka roka trajanja (za različite klimatske zone ukoliko je to prikladno) i datum proizvodnje. Osim naljepnice, potrebno je osigurati i sigurnosno-tehnički list. </w:t>
      </w:r>
    </w:p>
    <w:p w:rsidR="005249E4" w:rsidRDefault="005249E4" w:rsidP="00CE5B53">
      <w:pPr>
        <w:jc w:val="both"/>
      </w:pPr>
    </w:p>
    <w:p w:rsidR="00F860DE" w:rsidRPr="00FC5C52" w:rsidRDefault="005249E4" w:rsidP="00CE5B53">
      <w:pPr>
        <w:jc w:val="both"/>
        <w:rPr>
          <w:b/>
        </w:rPr>
      </w:pPr>
      <w:r w:rsidRPr="00FC5C52">
        <w:rPr>
          <w:b/>
        </w:rPr>
        <w:t>TARIC KODOVI POVEZANI S</w:t>
      </w:r>
      <w:r w:rsidR="000D634B" w:rsidRPr="00FC5C52">
        <w:rPr>
          <w:b/>
        </w:rPr>
        <w:t xml:space="preserve"> IZVOZOM KEMIKALIJA</w:t>
      </w:r>
    </w:p>
    <w:p w:rsidR="000D634B" w:rsidRDefault="000D634B" w:rsidP="00CE5B53">
      <w:pPr>
        <w:jc w:val="both"/>
      </w:pPr>
      <w:r>
        <w:t>Y915 – kemikalija podliježe Uredbi - potreban je RIN</w:t>
      </w:r>
    </w:p>
    <w:p w:rsidR="000D634B" w:rsidRDefault="000D634B" w:rsidP="00CE5B53">
      <w:pPr>
        <w:jc w:val="both"/>
      </w:pPr>
      <w:r>
        <w:t>Y916 – kemikalija nije regulirana Uredbom – nema ograničenja</w:t>
      </w:r>
    </w:p>
    <w:p w:rsidR="000D634B" w:rsidRDefault="000D634B" w:rsidP="00CE5B53">
      <w:pPr>
        <w:jc w:val="both"/>
      </w:pPr>
      <w:r>
        <w:t>Y917 – kemikalija koja se izvozi ne podliježe prilogu V Uredbe – nema zabrane</w:t>
      </w:r>
    </w:p>
    <w:p w:rsidR="000D634B" w:rsidRDefault="000D634B" w:rsidP="00CE5B53">
      <w:pPr>
        <w:jc w:val="both"/>
      </w:pPr>
      <w:r>
        <w:t>Y919 – kemikalija podliježe članku 2(</w:t>
      </w:r>
      <w:proofErr w:type="spellStart"/>
      <w:r>
        <w:t>2</w:t>
      </w:r>
      <w:proofErr w:type="spellEnd"/>
      <w:r>
        <w:t>)(i) Uredbe koji isključuje izvoz kemikalija</w:t>
      </w:r>
      <w:r w:rsidR="005249E4">
        <w:t xml:space="preserve"> za potrebe istraživanja i analize u količinama ne većim od 10kg – specijalan RIN potreban</w:t>
      </w:r>
    </w:p>
    <w:p w:rsidR="000D634B" w:rsidRDefault="000D634B" w:rsidP="00CE5B53">
      <w:pPr>
        <w:jc w:val="both"/>
      </w:pPr>
    </w:p>
    <w:p w:rsidR="000D634B" w:rsidRDefault="000D634B" w:rsidP="00CE5B53">
      <w:pPr>
        <w:jc w:val="both"/>
      </w:pPr>
    </w:p>
    <w:p w:rsidR="005249E4" w:rsidRDefault="005249E4" w:rsidP="00CE5B53">
      <w:pPr>
        <w:jc w:val="both"/>
      </w:pPr>
    </w:p>
    <w:p w:rsidR="005249E4" w:rsidRDefault="005249E4" w:rsidP="00CE5B53">
      <w:pPr>
        <w:jc w:val="both"/>
      </w:pPr>
    </w:p>
    <w:p w:rsidR="005249E4" w:rsidRDefault="005249E4" w:rsidP="00CE5B53">
      <w:pPr>
        <w:jc w:val="both"/>
      </w:pPr>
    </w:p>
    <w:p w:rsidR="005249E4" w:rsidRDefault="005249E4" w:rsidP="00CE5B53">
      <w:pPr>
        <w:jc w:val="both"/>
      </w:pPr>
    </w:p>
    <w:p w:rsidR="00D72DF6" w:rsidRPr="00E21B53" w:rsidRDefault="00D72DF6" w:rsidP="00CE5B53">
      <w:pPr>
        <w:jc w:val="both"/>
        <w:rPr>
          <w:b/>
        </w:rPr>
      </w:pPr>
      <w:r w:rsidRPr="00E21B53">
        <w:rPr>
          <w:b/>
        </w:rPr>
        <w:lastRenderedPageBreak/>
        <w:t>OBVEZE IZVOZNIKA I UVOZNIKA</w:t>
      </w:r>
      <w:r w:rsidR="00E21B53">
        <w:rPr>
          <w:b/>
        </w:rPr>
        <w:t xml:space="preserve"> </w:t>
      </w:r>
    </w:p>
    <w:p w:rsidR="00D72DF6" w:rsidRDefault="00D72DF6" w:rsidP="00CE5B53">
      <w:pPr>
        <w:jc w:val="both"/>
      </w:pPr>
      <w:r>
        <w:t>Tijekom prvog kvartala svake godine, izvoznik tvari s popisa I., pripravaka  koje sadrže tvari s popisa I. ukoliko njihov</w:t>
      </w:r>
      <w:r w:rsidR="00E21B53">
        <w:t>a</w:t>
      </w:r>
      <w:r>
        <w:t xml:space="preserve"> koncentracija uvjetuje obilježavanje smjese sukladno Uredbi 1272/2008/EU ili proizvoda koji sadrže tvari s popisa I dio 2. I 3. (u </w:t>
      </w:r>
      <w:proofErr w:type="spellStart"/>
      <w:r>
        <w:t>nereagiranom</w:t>
      </w:r>
      <w:proofErr w:type="spellEnd"/>
      <w:r>
        <w:t xml:space="preserve"> obliku)</w:t>
      </w:r>
      <w:r w:rsidR="00E21B53">
        <w:t xml:space="preserve"> ili smjese koje sadrže takve tvari u koncentraciji koje uvjetuju označavanje prema Uredbi 1272/</w:t>
      </w:r>
      <w:r w:rsidR="00493246">
        <w:t>2008/</w:t>
      </w:r>
      <w:r w:rsidR="00E21B53">
        <w:t>EU,</w:t>
      </w:r>
      <w:r>
        <w:t xml:space="preserve"> trebaju obavijestiti Ministarstvo zdravlja</w:t>
      </w:r>
      <w:r w:rsidR="00E21B53">
        <w:t xml:space="preserve"> o količinama izvezenih kemikalija (kao tvari, u smjesama, u proizvodima) u svaku zemlju za proteklu godinu. Također je potrebno dostaviti popis imena i adresa svakog uvoznika. </w:t>
      </w:r>
    </w:p>
    <w:p w:rsidR="00E21B53" w:rsidRDefault="00E21B53" w:rsidP="00CE5B53">
      <w:pPr>
        <w:jc w:val="both"/>
      </w:pPr>
      <w:r>
        <w:t xml:space="preserve">Podaci o izvozu kemikalija s popisa I. dio 2. </w:t>
      </w:r>
      <w:r w:rsidR="00493246">
        <w:t>i</w:t>
      </w:r>
      <w:r>
        <w:t xml:space="preserve"> 3. </w:t>
      </w:r>
      <w:r w:rsidR="00493246">
        <w:t>k</w:t>
      </w:r>
      <w:r>
        <w:t xml:space="preserve">oji se obavio uz odobrenje nadležnog tijela zemlje izvoznice i Europske komisije, ali bez izričitog pristanka zemlje uvoznice, potrebno je navesti posebno. </w:t>
      </w:r>
    </w:p>
    <w:p w:rsidR="00E21B53" w:rsidRDefault="00E21B53" w:rsidP="00CE5B53">
      <w:pPr>
        <w:jc w:val="both"/>
      </w:pPr>
      <w:r>
        <w:t>Uvoznici trebaju dosta</w:t>
      </w:r>
      <w:r w:rsidR="00493246">
        <w:t xml:space="preserve">viti iste podatke o količinama </w:t>
      </w:r>
      <w:r>
        <w:t>kemikalija stavljenima na domaće tržište.</w:t>
      </w:r>
    </w:p>
    <w:p w:rsidR="00E21B53" w:rsidRDefault="00E21B53" w:rsidP="00CE5B53">
      <w:pPr>
        <w:jc w:val="both"/>
      </w:pPr>
      <w:r>
        <w:t xml:space="preserve">Ministarstvo zdravlja dobivene podatke dostavlja Europskoj komisiji. </w:t>
      </w:r>
    </w:p>
    <w:p w:rsidR="006B42E1" w:rsidRDefault="006B42E1" w:rsidP="00CE5B53">
      <w:pPr>
        <w:jc w:val="both"/>
      </w:pPr>
    </w:p>
    <w:p w:rsidR="00FF7DCF" w:rsidRPr="00D64844" w:rsidRDefault="00D64844" w:rsidP="00CE5B53">
      <w:pPr>
        <w:jc w:val="both"/>
      </w:pPr>
      <w:r w:rsidRPr="00D64844">
        <w:t>Izvješće o godišnjem uvozu i izvozu</w:t>
      </w:r>
      <w:r w:rsidR="00FF7DCF" w:rsidRPr="00D64844">
        <w:t xml:space="preserve"> treba sadržavati:</w:t>
      </w:r>
    </w:p>
    <w:p w:rsidR="006B42E1" w:rsidRPr="006B42E1" w:rsidRDefault="00FF7DCF" w:rsidP="006B42E1">
      <w:pPr>
        <w:numPr>
          <w:ilvl w:val="0"/>
          <w:numId w:val="4"/>
        </w:numPr>
        <w:spacing w:before="100" w:beforeAutospacing="1" w:after="100" w:afterAutospacing="1" w:line="400" w:lineRule="atLeast"/>
        <w:ind w:left="240"/>
        <w:rPr>
          <w:rFonts w:eastAsia="Times New Roman" w:cs="Arial"/>
          <w:color w:val="111111"/>
          <w:lang w:eastAsia="hr-HR"/>
        </w:rPr>
      </w:pPr>
      <w:r w:rsidRPr="00D64844">
        <w:rPr>
          <w:rFonts w:eastAsia="Times New Roman" w:cs="Arial"/>
          <w:color w:val="111111"/>
          <w:lang w:eastAsia="hr-HR"/>
        </w:rPr>
        <w:t>Ime i adresu izvoznika</w:t>
      </w:r>
    </w:p>
    <w:p w:rsidR="006B42E1" w:rsidRPr="006B42E1" w:rsidRDefault="00FF7DCF" w:rsidP="006B42E1">
      <w:pPr>
        <w:numPr>
          <w:ilvl w:val="0"/>
          <w:numId w:val="4"/>
        </w:numPr>
        <w:spacing w:before="100" w:beforeAutospacing="1" w:after="100" w:afterAutospacing="1" w:line="400" w:lineRule="atLeast"/>
        <w:ind w:left="240"/>
        <w:rPr>
          <w:rFonts w:eastAsia="Times New Roman" w:cs="Arial"/>
          <w:color w:val="111111"/>
          <w:lang w:eastAsia="hr-HR"/>
        </w:rPr>
      </w:pPr>
      <w:r w:rsidRPr="00D64844">
        <w:rPr>
          <w:rFonts w:eastAsia="Times New Roman" w:cs="Arial"/>
          <w:color w:val="111111"/>
          <w:lang w:eastAsia="hr-HR"/>
        </w:rPr>
        <w:t xml:space="preserve">Ime tvari ili tvar/smjesa ili tvar/proizvod </w:t>
      </w:r>
    </w:p>
    <w:p w:rsidR="006B42E1" w:rsidRPr="006B42E1" w:rsidRDefault="00FF7DCF" w:rsidP="006B42E1">
      <w:pPr>
        <w:numPr>
          <w:ilvl w:val="0"/>
          <w:numId w:val="4"/>
        </w:numPr>
        <w:spacing w:before="100" w:beforeAutospacing="1" w:after="100" w:afterAutospacing="1" w:line="400" w:lineRule="atLeast"/>
        <w:ind w:left="240"/>
        <w:rPr>
          <w:rFonts w:eastAsia="Times New Roman" w:cs="Arial"/>
          <w:color w:val="111111"/>
          <w:lang w:eastAsia="hr-HR"/>
        </w:rPr>
      </w:pPr>
      <w:r w:rsidRPr="00D64844">
        <w:rPr>
          <w:rFonts w:eastAsia="Times New Roman" w:cs="Arial"/>
          <w:color w:val="111111"/>
          <w:lang w:eastAsia="hr-HR"/>
        </w:rPr>
        <w:t>CAS br.</w:t>
      </w:r>
      <w:r w:rsidR="006B42E1" w:rsidRPr="006B42E1">
        <w:rPr>
          <w:rFonts w:eastAsia="Times New Roman" w:cs="Arial"/>
          <w:color w:val="111111"/>
          <w:lang w:eastAsia="hr-HR"/>
        </w:rPr>
        <w:t xml:space="preserve"> </w:t>
      </w:r>
    </w:p>
    <w:p w:rsidR="006B42E1" w:rsidRPr="006B42E1" w:rsidRDefault="00FF7DCF" w:rsidP="006B42E1">
      <w:pPr>
        <w:numPr>
          <w:ilvl w:val="0"/>
          <w:numId w:val="4"/>
        </w:numPr>
        <w:spacing w:before="100" w:beforeAutospacing="1" w:after="100" w:afterAutospacing="1" w:line="400" w:lineRule="atLeast"/>
        <w:ind w:left="240"/>
        <w:rPr>
          <w:rFonts w:eastAsia="Times New Roman" w:cs="Arial"/>
          <w:color w:val="111111"/>
          <w:lang w:eastAsia="hr-HR"/>
        </w:rPr>
      </w:pPr>
      <w:r w:rsidRPr="00D64844">
        <w:rPr>
          <w:rFonts w:eastAsia="Times New Roman" w:cs="Arial"/>
          <w:color w:val="111111"/>
          <w:lang w:eastAsia="hr-HR"/>
        </w:rPr>
        <w:t>EINECS br.</w:t>
      </w:r>
      <w:r w:rsidR="006B42E1" w:rsidRPr="006B42E1">
        <w:rPr>
          <w:rFonts w:eastAsia="Times New Roman" w:cs="Arial"/>
          <w:color w:val="111111"/>
          <w:lang w:eastAsia="hr-HR"/>
        </w:rPr>
        <w:t xml:space="preserve"> </w:t>
      </w:r>
    </w:p>
    <w:p w:rsidR="006B42E1" w:rsidRPr="006B42E1" w:rsidRDefault="00FF7DCF" w:rsidP="006B42E1">
      <w:pPr>
        <w:numPr>
          <w:ilvl w:val="0"/>
          <w:numId w:val="4"/>
        </w:numPr>
        <w:spacing w:before="100" w:beforeAutospacing="1" w:after="100" w:afterAutospacing="1" w:line="400" w:lineRule="atLeast"/>
        <w:ind w:left="240"/>
        <w:rPr>
          <w:rFonts w:eastAsia="Times New Roman" w:cs="Arial"/>
          <w:color w:val="111111"/>
          <w:lang w:eastAsia="hr-HR"/>
        </w:rPr>
      </w:pPr>
      <w:r w:rsidRPr="00D64844">
        <w:rPr>
          <w:rFonts w:eastAsia="Times New Roman" w:cs="Arial"/>
          <w:color w:val="111111"/>
          <w:lang w:eastAsia="hr-HR"/>
        </w:rPr>
        <w:t>Ime zemlje uvoznice</w:t>
      </w:r>
    </w:p>
    <w:p w:rsidR="006B42E1" w:rsidRPr="006B42E1" w:rsidRDefault="00FF7DCF" w:rsidP="006B42E1">
      <w:pPr>
        <w:numPr>
          <w:ilvl w:val="0"/>
          <w:numId w:val="4"/>
        </w:numPr>
        <w:spacing w:before="100" w:beforeAutospacing="1" w:after="100" w:afterAutospacing="1" w:line="400" w:lineRule="atLeast"/>
        <w:ind w:left="240"/>
        <w:rPr>
          <w:rFonts w:eastAsia="Times New Roman" w:cs="Arial"/>
          <w:color w:val="111111"/>
          <w:lang w:eastAsia="hr-HR"/>
        </w:rPr>
      </w:pPr>
      <w:r w:rsidRPr="00D64844">
        <w:rPr>
          <w:rFonts w:eastAsia="Times New Roman" w:cs="Arial"/>
          <w:color w:val="111111"/>
          <w:lang w:eastAsia="hr-HR"/>
        </w:rPr>
        <w:t>Ime i adresu uvoznika</w:t>
      </w:r>
    </w:p>
    <w:p w:rsidR="006B42E1" w:rsidRPr="006B42E1" w:rsidRDefault="00FF7DCF" w:rsidP="006B42E1">
      <w:pPr>
        <w:numPr>
          <w:ilvl w:val="0"/>
          <w:numId w:val="4"/>
        </w:numPr>
        <w:spacing w:before="100" w:beforeAutospacing="1" w:after="100" w:afterAutospacing="1" w:line="400" w:lineRule="atLeast"/>
        <w:ind w:left="240"/>
        <w:rPr>
          <w:rFonts w:eastAsia="Times New Roman" w:cs="Arial"/>
          <w:color w:val="111111"/>
          <w:lang w:eastAsia="hr-HR"/>
        </w:rPr>
      </w:pPr>
      <w:r w:rsidRPr="00D64844">
        <w:rPr>
          <w:rFonts w:eastAsia="Times New Roman" w:cs="Arial"/>
          <w:color w:val="111111"/>
          <w:lang w:eastAsia="hr-HR"/>
        </w:rPr>
        <w:t>Količinu u kg</w:t>
      </w:r>
    </w:p>
    <w:p w:rsidR="006B42E1" w:rsidRDefault="006B42E1" w:rsidP="00CE5B53">
      <w:pPr>
        <w:jc w:val="both"/>
      </w:pPr>
    </w:p>
    <w:p w:rsidR="00D9635A" w:rsidRDefault="00D9635A" w:rsidP="00CE5B53">
      <w:pPr>
        <w:jc w:val="both"/>
      </w:pPr>
    </w:p>
    <w:p w:rsidR="00D9635A" w:rsidRDefault="00D9635A" w:rsidP="00CE5B53">
      <w:pPr>
        <w:jc w:val="both"/>
      </w:pPr>
    </w:p>
    <w:p w:rsidR="005249E4" w:rsidRDefault="005249E4" w:rsidP="00CE5B53">
      <w:pPr>
        <w:jc w:val="both"/>
      </w:pPr>
    </w:p>
    <w:p w:rsidR="005249E4" w:rsidRDefault="005249E4" w:rsidP="00CE5B53">
      <w:pPr>
        <w:jc w:val="both"/>
      </w:pPr>
    </w:p>
    <w:p w:rsidR="005249E4" w:rsidRDefault="005249E4" w:rsidP="00CE5B53">
      <w:pPr>
        <w:jc w:val="both"/>
      </w:pPr>
    </w:p>
    <w:p w:rsidR="00EA58C2" w:rsidRDefault="00EA58C2" w:rsidP="00CE5B53">
      <w:pPr>
        <w:jc w:val="both"/>
      </w:pPr>
    </w:p>
    <w:p w:rsidR="00EA58C2" w:rsidRDefault="00EA58C2" w:rsidP="00CE5B53">
      <w:pPr>
        <w:jc w:val="both"/>
      </w:pPr>
    </w:p>
    <w:p w:rsidR="00EA58C2" w:rsidRDefault="00EA58C2" w:rsidP="00CE5B53">
      <w:pPr>
        <w:jc w:val="both"/>
      </w:pPr>
    </w:p>
    <w:p w:rsidR="00EA58C2" w:rsidRDefault="00EA58C2" w:rsidP="00CE5B53">
      <w:pPr>
        <w:jc w:val="both"/>
      </w:pPr>
    </w:p>
    <w:sectPr w:rsidR="00EA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79" w:rsidRDefault="007E0179" w:rsidP="00186987">
      <w:pPr>
        <w:spacing w:after="0" w:line="240" w:lineRule="auto"/>
      </w:pPr>
      <w:r>
        <w:separator/>
      </w:r>
    </w:p>
  </w:endnote>
  <w:endnote w:type="continuationSeparator" w:id="0">
    <w:p w:rsidR="007E0179" w:rsidRDefault="007E0179" w:rsidP="0018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79" w:rsidRDefault="007E0179" w:rsidP="00186987">
      <w:pPr>
        <w:spacing w:after="0" w:line="240" w:lineRule="auto"/>
      </w:pPr>
      <w:r>
        <w:separator/>
      </w:r>
    </w:p>
  </w:footnote>
  <w:footnote w:type="continuationSeparator" w:id="0">
    <w:p w:rsidR="007E0179" w:rsidRDefault="007E0179" w:rsidP="0018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A62"/>
    <w:multiLevelType w:val="multilevel"/>
    <w:tmpl w:val="874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AD3"/>
    <w:multiLevelType w:val="multilevel"/>
    <w:tmpl w:val="D49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E29C0"/>
    <w:multiLevelType w:val="hybridMultilevel"/>
    <w:tmpl w:val="D11A9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7C34"/>
    <w:multiLevelType w:val="multilevel"/>
    <w:tmpl w:val="63B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87"/>
    <w:rsid w:val="000D634B"/>
    <w:rsid w:val="00155DC1"/>
    <w:rsid w:val="00157284"/>
    <w:rsid w:val="00186987"/>
    <w:rsid w:val="00275FBA"/>
    <w:rsid w:val="002844FE"/>
    <w:rsid w:val="00292A4C"/>
    <w:rsid w:val="002C2327"/>
    <w:rsid w:val="00355A21"/>
    <w:rsid w:val="00493246"/>
    <w:rsid w:val="005249E4"/>
    <w:rsid w:val="00576C4A"/>
    <w:rsid w:val="005D79FD"/>
    <w:rsid w:val="005F14F8"/>
    <w:rsid w:val="006550CB"/>
    <w:rsid w:val="006A1D51"/>
    <w:rsid w:val="006B42E1"/>
    <w:rsid w:val="007D35F9"/>
    <w:rsid w:val="007E0179"/>
    <w:rsid w:val="008233CD"/>
    <w:rsid w:val="008843CE"/>
    <w:rsid w:val="0095633E"/>
    <w:rsid w:val="00992B6F"/>
    <w:rsid w:val="00A301BC"/>
    <w:rsid w:val="00B4613D"/>
    <w:rsid w:val="00BC631A"/>
    <w:rsid w:val="00C42936"/>
    <w:rsid w:val="00CE5B53"/>
    <w:rsid w:val="00D12678"/>
    <w:rsid w:val="00D64844"/>
    <w:rsid w:val="00D72DF6"/>
    <w:rsid w:val="00D9635A"/>
    <w:rsid w:val="00DF51FD"/>
    <w:rsid w:val="00E21B53"/>
    <w:rsid w:val="00EA58C2"/>
    <w:rsid w:val="00F27746"/>
    <w:rsid w:val="00F709F1"/>
    <w:rsid w:val="00F860DE"/>
    <w:rsid w:val="00FC5C52"/>
    <w:rsid w:val="00FC7674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18698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6987"/>
    <w:rPr>
      <w:sz w:val="20"/>
      <w:szCs w:val="20"/>
    </w:rPr>
  </w:style>
  <w:style w:type="character" w:styleId="Referencafusnote">
    <w:name w:val="footnote reference"/>
    <w:basedOn w:val="Zadanifontodlomka"/>
    <w:semiHidden/>
    <w:rsid w:val="00186987"/>
    <w:rPr>
      <w:vertAlign w:val="superscript"/>
    </w:rPr>
  </w:style>
  <w:style w:type="paragraph" w:styleId="Odlomakpopisa">
    <w:name w:val="List Paragraph"/>
    <w:basedOn w:val="Normal"/>
    <w:uiPriority w:val="34"/>
    <w:qFormat/>
    <w:rsid w:val="001869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A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233CD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3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844"/>
  </w:style>
  <w:style w:type="paragraph" w:styleId="Podnoje">
    <w:name w:val="footer"/>
    <w:basedOn w:val="Normal"/>
    <w:link w:val="PodnojeChar"/>
    <w:uiPriority w:val="99"/>
    <w:unhideWhenUsed/>
    <w:rsid w:val="00D6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18698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6987"/>
    <w:rPr>
      <w:sz w:val="20"/>
      <w:szCs w:val="20"/>
    </w:rPr>
  </w:style>
  <w:style w:type="character" w:styleId="Referencafusnote">
    <w:name w:val="footnote reference"/>
    <w:basedOn w:val="Zadanifontodlomka"/>
    <w:semiHidden/>
    <w:rsid w:val="00186987"/>
    <w:rPr>
      <w:vertAlign w:val="superscript"/>
    </w:rPr>
  </w:style>
  <w:style w:type="paragraph" w:styleId="Odlomakpopisa">
    <w:name w:val="List Paragraph"/>
    <w:basedOn w:val="Normal"/>
    <w:uiPriority w:val="34"/>
    <w:qFormat/>
    <w:rsid w:val="001869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A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233CD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3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844"/>
  </w:style>
  <w:style w:type="paragraph" w:styleId="Podnoje">
    <w:name w:val="footer"/>
    <w:basedOn w:val="Normal"/>
    <w:link w:val="PodnojeChar"/>
    <w:uiPriority w:val="99"/>
    <w:unhideWhenUsed/>
    <w:rsid w:val="00D6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05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40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09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1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35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2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exim.jrc.ec.europ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exim.jrc.ec.europa.eu/list_annex_i_chemicals.php?id_part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exim.jrc.ec.europa.eu/list_annex_i_chemicals.php?id_part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exim.jrc.ec.europa.eu/picCirculars.php" TargetMode="External"/><Relationship Id="rId10" Type="http://schemas.openxmlformats.org/officeDocument/2006/relationships/hyperlink" Target="http://edexim.jrc.ec.europa.eu/list_annex_i_chemicals.php?id_par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exim.jrc.ec.europa.eu" TargetMode="External"/><Relationship Id="rId14" Type="http://schemas.openxmlformats.org/officeDocument/2006/relationships/hyperlink" Target="mailto:PICexport_import@m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BAA7-97EB-4A61-B9F8-694B61DA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Vrhovac Ivana</dc:creator>
  <cp:lastModifiedBy>Vrhovac Ivana</cp:lastModifiedBy>
  <cp:revision>2</cp:revision>
  <dcterms:created xsi:type="dcterms:W3CDTF">2013-06-21T11:47:00Z</dcterms:created>
  <dcterms:modified xsi:type="dcterms:W3CDTF">2013-06-21T11:47:00Z</dcterms:modified>
</cp:coreProperties>
</file>